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BDD" w:rsidRDefault="00B15BDD" w:rsidP="00B15BDD">
      <w:pPr>
        <w:pStyle w:val="CRCoverPage"/>
        <w:tabs>
          <w:tab w:val="right" w:pos="9639"/>
        </w:tabs>
        <w:spacing w:after="0"/>
        <w:rPr>
          <w:b/>
          <w:i/>
          <w:noProof/>
          <w:sz w:val="28"/>
        </w:rPr>
      </w:pPr>
      <w:r>
        <w:rPr>
          <w:b/>
          <w:noProof/>
          <w:sz w:val="24"/>
          <w:lang w:val="en-US"/>
        </w:rPr>
        <w:t>3GPP TSG-RAN WG2 #105</w:t>
      </w:r>
      <w:r>
        <w:rPr>
          <w:b/>
          <w:i/>
          <w:noProof/>
          <w:sz w:val="28"/>
        </w:rPr>
        <w:tab/>
        <w:t>R2-19</w:t>
      </w:r>
      <w:r w:rsidR="00931084">
        <w:rPr>
          <w:b/>
          <w:i/>
          <w:noProof/>
          <w:sz w:val="28"/>
        </w:rPr>
        <w:t>01897</w:t>
      </w:r>
      <w:bookmarkStart w:id="0" w:name="_GoBack"/>
      <w:bookmarkEnd w:id="0"/>
    </w:p>
    <w:p w:rsidR="003F3E87" w:rsidRDefault="00B15BDD" w:rsidP="00B15BDD">
      <w:pPr>
        <w:pStyle w:val="CRCoverPage"/>
        <w:jc w:val="both"/>
        <w:outlineLvl w:val="0"/>
        <w:rPr>
          <w:lang w:eastAsia="ko-KR"/>
        </w:rPr>
      </w:pPr>
      <w:r>
        <w:rPr>
          <w:b/>
          <w:noProof/>
          <w:sz w:val="24"/>
          <w:lang w:eastAsia="ko-KR"/>
        </w:rPr>
        <w:t>Athens, Greece, February 25</w:t>
      </w:r>
      <w:r>
        <w:rPr>
          <w:b/>
          <w:noProof/>
          <w:sz w:val="24"/>
        </w:rPr>
        <w:t xml:space="preserve"> – March 1, 2019</w:t>
      </w:r>
      <w:r>
        <w:rPr>
          <w:b/>
          <w:noProof/>
          <w:sz w:val="24"/>
        </w:rPr>
        <w:tab/>
      </w:r>
      <w:r>
        <w:rPr>
          <w:b/>
          <w:noProof/>
          <w:sz w:val="24"/>
        </w:rPr>
        <w:tab/>
      </w:r>
      <w:r>
        <w:rPr>
          <w:b/>
          <w:noProof/>
          <w:sz w:val="24"/>
        </w:rPr>
        <w:tab/>
      </w:r>
      <w:r w:rsidRPr="00B15BDD">
        <w:rPr>
          <w:noProof/>
          <w:sz w:val="18"/>
        </w:rPr>
        <w:t xml:space="preserve">(resubmission </w:t>
      </w:r>
      <w:r>
        <w:rPr>
          <w:noProof/>
          <w:sz w:val="18"/>
        </w:rPr>
        <w:t xml:space="preserve">of </w:t>
      </w:r>
      <w:r w:rsidRPr="00B15BDD">
        <w:rPr>
          <w:noProof/>
          <w:sz w:val="18"/>
        </w:rPr>
        <w:t>R2-1818108)</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1.7.4</w:t>
      </w:r>
      <w:r>
        <w:rPr>
          <w:rFonts w:ascii="Arial" w:hAnsi="Arial" w:hint="eastAsia"/>
          <w:sz w:val="24"/>
          <w:lang w:val="en-US" w:eastAsia="ko-KR"/>
        </w:rPr>
        <w:t xml:space="preserve"> (</w:t>
      </w:r>
      <w:r w:rsidR="0032544F" w:rsidRPr="0032544F">
        <w:rPr>
          <w:rFonts w:ascii="Arial" w:hAnsi="Arial"/>
          <w:sz w:val="24"/>
          <w:lang w:val="en-US" w:eastAsia="ko-KR"/>
        </w:rPr>
        <w:t>FS_NR_IIOT</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TM DRB</w:t>
      </w:r>
      <w:r w:rsidR="00165929">
        <w:rPr>
          <w:rFonts w:ascii="Arial" w:hAnsi="Arial"/>
          <w:sz w:val="24"/>
          <w:lang w:val="en-US" w:eastAsia="ko-KR"/>
        </w:rPr>
        <w:t xml:space="preserve"> for IIOT</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In this case, PDCP layer is not used, and the RRC messages are delivered directly to the TM RLC entity. This principle is still applied to NR, i.e. the NR TM RLC entity is also only used for BCCH, CCCH, and PCCH.</w:t>
      </w:r>
    </w:p>
    <w:p w:rsidR="003F3E8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w:t>
      </w:r>
      <w:r w:rsidR="0073652D">
        <w:rPr>
          <w:sz w:val="22"/>
          <w:lang w:val="en-US" w:eastAsia="ko-KR"/>
        </w:rPr>
        <w:t>using DRB over</w:t>
      </w:r>
      <w:r>
        <w:rPr>
          <w:rFonts w:hint="eastAsia"/>
          <w:sz w:val="22"/>
          <w:lang w:val="en-US" w:eastAsia="ko-KR"/>
        </w:rPr>
        <w:t xml:space="preserve"> TM RLC for </w:t>
      </w:r>
      <w:r w:rsidR="0073652D">
        <w:rPr>
          <w:sz w:val="22"/>
          <w:lang w:val="en-US" w:eastAsia="ko-KR"/>
        </w:rPr>
        <w:t>IIOT</w:t>
      </w:r>
      <w:r>
        <w:rPr>
          <w:rFonts w:hint="eastAsia"/>
          <w:sz w:val="22"/>
          <w:lang w:val="en-US" w:eastAsia="ko-KR"/>
        </w:rPr>
        <w:t>.</w:t>
      </w:r>
    </w:p>
    <w:p w:rsidR="0073652D" w:rsidRPr="000B1477" w:rsidRDefault="0073652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F56533" w:rsidRDefault="00F56533" w:rsidP="00E2323B">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Rel-16 II</w:t>
      </w:r>
      <w:r w:rsidR="0073652D">
        <w:rPr>
          <w:rFonts w:eastAsia="맑은 고딕"/>
          <w:sz w:val="22"/>
          <w:szCs w:val="22"/>
          <w:lang w:eastAsia="ko-KR"/>
        </w:rPr>
        <w:t>O</w:t>
      </w:r>
      <w:r>
        <w:rPr>
          <w:rFonts w:eastAsia="맑은 고딕"/>
          <w:sz w:val="22"/>
          <w:szCs w:val="22"/>
          <w:lang w:eastAsia="ko-KR"/>
        </w:rPr>
        <w:t>T, a mechanism to enhance the transmission reliability is considered by using more than two transmission paths.</w:t>
      </w:r>
      <w:r w:rsidR="008937A8">
        <w:rPr>
          <w:rFonts w:eastAsia="맑은 고딕"/>
          <w:sz w:val="22"/>
          <w:szCs w:val="22"/>
          <w:lang w:eastAsia="ko-KR"/>
        </w:rPr>
        <w:t xml:space="preserve"> As the duplicated packets are transmitted over multiple paths, overhead reduction in each transmitted packet is important from the resource efficiently point of view.</w:t>
      </w:r>
    </w:p>
    <w:p w:rsidR="00F56533" w:rsidRDefault="00F56533" w:rsidP="00E2323B">
      <w:pPr>
        <w:rPr>
          <w:rFonts w:eastAsia="맑은 고딕"/>
          <w:sz w:val="22"/>
          <w:szCs w:val="22"/>
          <w:lang w:eastAsia="ko-KR"/>
        </w:rPr>
      </w:pPr>
    </w:p>
    <w:p w:rsidR="00E2323B" w:rsidRDefault="00E2323B">
      <w:pPr>
        <w:rPr>
          <w:sz w:val="22"/>
          <w:lang w:eastAsia="ko-KR"/>
        </w:rPr>
      </w:pPr>
      <w:r>
        <w:rPr>
          <w:rFonts w:hint="eastAsia"/>
          <w:sz w:val="22"/>
          <w:lang w:eastAsia="ko-KR"/>
        </w:rPr>
        <w:t>Th</w:t>
      </w:r>
      <w:r w:rsidR="008937A8">
        <w:rPr>
          <w:sz w:val="22"/>
          <w:lang w:eastAsia="ko-KR"/>
        </w:rPr>
        <w:t>erefore</w:t>
      </w:r>
      <w:r>
        <w:rPr>
          <w:rFonts w:hint="eastAsia"/>
          <w:sz w:val="22"/>
          <w:lang w:eastAsia="ko-KR"/>
        </w:rPr>
        <w:t xml:space="preserve">, if the PDU size restriction can be overcome, </w:t>
      </w:r>
      <w:r w:rsidR="00DE4EA0">
        <w:rPr>
          <w:sz w:val="22"/>
          <w:lang w:eastAsia="ko-KR"/>
        </w:rPr>
        <w:t xml:space="preserve">it would be better to use TM RLC </w:t>
      </w:r>
      <w:r w:rsidR="008937A8">
        <w:rPr>
          <w:sz w:val="22"/>
          <w:lang w:eastAsia="ko-KR"/>
        </w:rPr>
        <w:t>for the transmission of duplicated packets</w:t>
      </w:r>
      <w:r w:rsidR="00DE4EA0">
        <w:rPr>
          <w:sz w:val="22"/>
          <w:lang w:eastAsia="ko-KR"/>
        </w:rPr>
        <w:t>.</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 xml:space="preserve">the RLC concatenation is not supported and a MAC PDU is constructed by interleaving MAC </w:t>
      </w:r>
      <w:proofErr w:type="spellStart"/>
      <w:r>
        <w:rPr>
          <w:sz w:val="22"/>
          <w:lang w:eastAsia="ko-KR"/>
        </w:rPr>
        <w:t>subPDUs</w:t>
      </w:r>
      <w:proofErr w:type="spellEnd"/>
      <w:r>
        <w:rPr>
          <w:sz w:val="22"/>
          <w:lang w:eastAsia="ko-KR"/>
        </w:rPr>
        <w:t xml:space="preserve">. As each RLC PDU is mapped to a MAC </w:t>
      </w:r>
      <w:proofErr w:type="spellStart"/>
      <w:r>
        <w:rPr>
          <w:sz w:val="22"/>
          <w:lang w:eastAsia="ko-KR"/>
        </w:rPr>
        <w:t>subPDU</w:t>
      </w:r>
      <w:proofErr w:type="spellEnd"/>
      <w:r>
        <w:rPr>
          <w:sz w:val="22"/>
          <w:lang w:eastAsia="ko-KR"/>
        </w:rPr>
        <w:t>,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w:t>
      </w:r>
      <w:r w:rsidR="008937A8">
        <w:rPr>
          <w:sz w:val="22"/>
          <w:lang w:eastAsia="ko-KR"/>
        </w:rPr>
        <w:t>requir</w:t>
      </w:r>
      <w:r>
        <w:rPr>
          <w:sz w:val="22"/>
          <w:lang w:eastAsia="ko-KR"/>
        </w:rPr>
        <w:t>ed to support TM RLC.</w:t>
      </w:r>
    </w:p>
    <w:p w:rsidR="008937A8" w:rsidRDefault="008937A8">
      <w:pPr>
        <w:rPr>
          <w:sz w:val="22"/>
          <w:lang w:eastAsia="ko-KR"/>
        </w:rPr>
      </w:pPr>
    </w:p>
    <w:p w:rsidR="001A248F" w:rsidRDefault="00905F59" w:rsidP="001A248F">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9D0975">
        <w:rPr>
          <w:sz w:val="22"/>
          <w:lang w:eastAsia="ko-KR"/>
        </w:rPr>
        <w:t xml:space="preserve">However, considering that </w:t>
      </w:r>
      <w:r w:rsidR="001A248F">
        <w:rPr>
          <w:sz w:val="22"/>
          <w:lang w:eastAsia="ko-KR"/>
        </w:rPr>
        <w:t xml:space="preserve">the TSN traffic is “predictable” in terms of message size and transfer periodicity, it would not be difficult for </w:t>
      </w:r>
      <w:r w:rsidR="001A248F">
        <w:rPr>
          <w:sz w:val="22"/>
          <w:lang w:eastAsia="ko-KR"/>
        </w:rPr>
        <w:lastRenderedPageBreak/>
        <w:t xml:space="preserve">the MAC entity to request the suitable size to the TM RLC entity. The following table </w:t>
      </w:r>
      <w:r w:rsidR="0073652D">
        <w:rPr>
          <w:sz w:val="22"/>
          <w:lang w:eastAsia="ko-KR"/>
        </w:rPr>
        <w:t>shows the typical message size for motion control.</w:t>
      </w:r>
    </w:p>
    <w:p w:rsidR="001A248F" w:rsidRPr="00CD6C0E" w:rsidRDefault="001A248F" w:rsidP="001A248F">
      <w:pPr>
        <w:pStyle w:val="TH"/>
        <w:rPr>
          <w:rFonts w:eastAsia="SimSun"/>
        </w:rPr>
      </w:pPr>
      <w:r w:rsidRPr="00CD6C0E">
        <w:rPr>
          <w:rFonts w:eastAsia="SimSun"/>
        </w:rPr>
        <w:t>Table 5.3.2.1-1: Typical characteristics of motion control systems for three major applications</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69"/>
        <w:gridCol w:w="1531"/>
        <w:gridCol w:w="1474"/>
        <w:gridCol w:w="1716"/>
        <w:gridCol w:w="2245"/>
      </w:tblGrid>
      <w:tr w:rsidR="001A248F" w:rsidRPr="00CD6C0E" w:rsidTr="00E064B2">
        <w:trPr>
          <w:trHeight w:val="329"/>
          <w:jc w:val="center"/>
        </w:trPr>
        <w:tc>
          <w:tcPr>
            <w:tcW w:w="2169"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Application</w:t>
            </w:r>
          </w:p>
        </w:tc>
        <w:tc>
          <w:tcPr>
            <w:tcW w:w="1531"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of sensors / actuators</w:t>
            </w:r>
          </w:p>
        </w:tc>
        <w:tc>
          <w:tcPr>
            <w:tcW w:w="1474"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Typical message size</w:t>
            </w:r>
          </w:p>
        </w:tc>
        <w:tc>
          <w:tcPr>
            <w:tcW w:w="1716"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xml:space="preserve">Cycle time </w:t>
            </w:r>
            <w:proofErr w:type="spellStart"/>
            <w:r w:rsidRPr="00CD6C0E">
              <w:rPr>
                <w:rFonts w:ascii="Arial" w:eastAsia="SimSun" w:hAnsi="Arial"/>
                <w:b/>
                <w:i/>
                <w:sz w:val="18"/>
              </w:rPr>
              <w:t>T</w:t>
            </w:r>
            <w:r w:rsidRPr="00CD6C0E">
              <w:rPr>
                <w:rFonts w:ascii="Arial" w:eastAsia="SimSun" w:hAnsi="Arial"/>
                <w:b/>
                <w:sz w:val="18"/>
                <w:vertAlign w:val="subscript"/>
              </w:rPr>
              <w:t>cycle</w:t>
            </w:r>
            <w:proofErr w:type="spellEnd"/>
          </w:p>
        </w:tc>
        <w:tc>
          <w:tcPr>
            <w:tcW w:w="2245" w:type="dxa"/>
            <w:shd w:val="clear" w:color="auto" w:fill="A5A5A5"/>
            <w:vAlign w:val="center"/>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Service area</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Printing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&gt; 100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20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2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100 m x 100 m x 30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Machine Tool</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20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50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0.5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15 m x 15 m x 3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Packaging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50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40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1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 m x 5 m x 3 m</w:t>
            </w:r>
          </w:p>
        </w:tc>
      </w:tr>
    </w:tbl>
    <w:p w:rsidR="001A248F" w:rsidRDefault="001A248F" w:rsidP="001A248F">
      <w:pPr>
        <w:rPr>
          <w:sz w:val="22"/>
          <w:lang w:eastAsia="ko-KR"/>
        </w:rPr>
      </w:pPr>
    </w:p>
    <w:p w:rsidR="0073652D" w:rsidRDefault="00AF5F4D">
      <w:pPr>
        <w:rPr>
          <w:sz w:val="22"/>
          <w:lang w:eastAsia="ko-KR"/>
        </w:rPr>
      </w:pPr>
      <w:r>
        <w:rPr>
          <w:rFonts w:hint="eastAsia"/>
          <w:sz w:val="22"/>
          <w:lang w:eastAsia="ko-KR"/>
        </w:rPr>
        <w:t>All in all, we don</w:t>
      </w:r>
      <w:r>
        <w:rPr>
          <w:sz w:val="22"/>
          <w:lang w:eastAsia="ko-KR"/>
        </w:rPr>
        <w:t xml:space="preserve">’t see any </w:t>
      </w:r>
      <w:r w:rsidR="001A248F">
        <w:rPr>
          <w:sz w:val="22"/>
          <w:lang w:eastAsia="ko-KR"/>
        </w:rPr>
        <w:t xml:space="preserve">significant </w:t>
      </w:r>
      <w:r>
        <w:rPr>
          <w:sz w:val="22"/>
          <w:lang w:eastAsia="ko-KR"/>
        </w:rPr>
        <w:t xml:space="preserve">complexity to support TM RLC for </w:t>
      </w:r>
      <w:r w:rsidR="001A248F">
        <w:rPr>
          <w:sz w:val="22"/>
          <w:lang w:eastAsia="ko-KR"/>
        </w:rPr>
        <w:t>data</w:t>
      </w:r>
      <w:r>
        <w:rPr>
          <w:sz w:val="22"/>
          <w:lang w:eastAsia="ko-KR"/>
        </w:rPr>
        <w:t xml:space="preserve"> radio bearers</w:t>
      </w:r>
      <w:r w:rsidR="00165929">
        <w:rPr>
          <w:sz w:val="22"/>
          <w:lang w:eastAsia="ko-KR"/>
        </w:rPr>
        <w:t>.</w:t>
      </w:r>
      <w:r w:rsidR="0073652D">
        <w:rPr>
          <w:sz w:val="22"/>
          <w:lang w:eastAsia="ko-KR"/>
        </w:rPr>
        <w:t xml:space="preserve"> </w:t>
      </w:r>
      <w:r w:rsidR="00165929">
        <w:rPr>
          <w:sz w:val="22"/>
          <w:lang w:eastAsia="ko-KR"/>
        </w:rPr>
        <w:t xml:space="preserve">Rather, </w:t>
      </w:r>
      <w:r w:rsidR="0073652D">
        <w:rPr>
          <w:sz w:val="22"/>
          <w:lang w:eastAsia="ko-KR"/>
        </w:rPr>
        <w:t>the use of TM DRB is well suited for IIOT in order to reduce overall overhead</w:t>
      </w:r>
      <w:r w:rsidR="002A139D">
        <w:rPr>
          <w:sz w:val="22"/>
          <w:lang w:eastAsia="ko-KR"/>
        </w:rPr>
        <w:t xml:space="preserve"> especially for multiplication</w:t>
      </w:r>
      <w:r w:rsidR="0073652D">
        <w:rPr>
          <w:sz w:val="22"/>
          <w:lang w:eastAsia="ko-KR"/>
        </w:rPr>
        <w:t>.</w:t>
      </w:r>
    </w:p>
    <w:p w:rsidR="00C83F0B" w:rsidRDefault="0073652D">
      <w:pPr>
        <w:rPr>
          <w:sz w:val="22"/>
          <w:lang w:eastAsia="ko-KR"/>
        </w:rPr>
      </w:pPr>
      <w:r>
        <w:rPr>
          <w:sz w:val="22"/>
          <w:lang w:eastAsia="ko-KR"/>
        </w:rPr>
        <w:t>Thus, we propose that RAN2 study the DRB over TM RLC for IIOT.</w:t>
      </w:r>
    </w:p>
    <w:p w:rsidR="00AF5F4D" w:rsidRDefault="00AF5F4D">
      <w:pPr>
        <w:rPr>
          <w:b/>
          <w:sz w:val="22"/>
          <w:lang w:eastAsia="ko-KR"/>
        </w:rPr>
      </w:pPr>
      <w:r w:rsidRPr="00AF5F4D">
        <w:rPr>
          <w:b/>
          <w:sz w:val="22"/>
          <w:lang w:eastAsia="ko-KR"/>
        </w:rPr>
        <w:t>Proposal: S</w:t>
      </w:r>
      <w:r w:rsidR="0073652D">
        <w:rPr>
          <w:b/>
          <w:sz w:val="22"/>
          <w:lang w:eastAsia="ko-KR"/>
        </w:rPr>
        <w:t xml:space="preserve">tudy </w:t>
      </w:r>
      <w:r w:rsidR="00D47D41">
        <w:rPr>
          <w:b/>
          <w:sz w:val="22"/>
          <w:lang w:eastAsia="ko-KR"/>
        </w:rPr>
        <w:t xml:space="preserve">Data </w:t>
      </w:r>
      <w:r w:rsidRPr="00AF5F4D">
        <w:rPr>
          <w:b/>
          <w:sz w:val="22"/>
          <w:lang w:eastAsia="ko-KR"/>
        </w:rPr>
        <w:t xml:space="preserve">Radio Bearer </w:t>
      </w:r>
      <w:r w:rsidR="0073652D">
        <w:rPr>
          <w:b/>
          <w:sz w:val="22"/>
          <w:lang w:eastAsia="ko-KR"/>
        </w:rPr>
        <w:t>over</w:t>
      </w:r>
      <w:r w:rsidRPr="00AF5F4D">
        <w:rPr>
          <w:b/>
          <w:sz w:val="22"/>
          <w:lang w:eastAsia="ko-KR"/>
        </w:rPr>
        <w:t xml:space="preserve"> TM RLC</w:t>
      </w:r>
      <w:r w:rsidR="0073652D">
        <w:rPr>
          <w:b/>
          <w:sz w:val="22"/>
          <w:lang w:eastAsia="ko-KR"/>
        </w:rPr>
        <w:t xml:space="preserve"> for IIOT</w:t>
      </w:r>
      <w:r w:rsidRPr="00AF5F4D">
        <w:rPr>
          <w:b/>
          <w:sz w:val="22"/>
          <w:lang w:eastAsia="ko-KR"/>
        </w:rPr>
        <w:t>.</w:t>
      </w:r>
    </w:p>
    <w:p w:rsidR="00D47D41" w:rsidRPr="0073652D" w:rsidRDefault="00D47D41">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1A248F" w:rsidRDefault="00A870AC">
      <w:pPr>
        <w:rPr>
          <w:sz w:val="22"/>
          <w:lang w:eastAsia="ko-KR"/>
        </w:rPr>
      </w:pPr>
      <w:r>
        <w:rPr>
          <w:rFonts w:hint="eastAsia"/>
          <w:sz w:val="22"/>
          <w:lang w:eastAsia="ko-KR"/>
        </w:rPr>
        <w:t xml:space="preserve">In this paper, we explained complexity of using TM RLC for DRB in IIOT. </w:t>
      </w:r>
      <w:r>
        <w:rPr>
          <w:sz w:val="22"/>
          <w:lang w:eastAsia="ko-KR"/>
        </w:rPr>
        <w:t>We think the complexity could be overcome by predictable traffic pattern in IIOT, and propose following:</w:t>
      </w:r>
    </w:p>
    <w:p w:rsidR="00A870AC" w:rsidRDefault="00A870AC">
      <w:pPr>
        <w:rPr>
          <w:sz w:val="22"/>
          <w:lang w:eastAsia="ko-KR"/>
        </w:rPr>
      </w:pPr>
      <w:r w:rsidRPr="00AF5F4D">
        <w:rPr>
          <w:b/>
          <w:sz w:val="22"/>
          <w:lang w:eastAsia="ko-KR"/>
        </w:rPr>
        <w:t>Proposal: S</w:t>
      </w:r>
      <w:r>
        <w:rPr>
          <w:b/>
          <w:sz w:val="22"/>
          <w:lang w:eastAsia="ko-KR"/>
        </w:rPr>
        <w:t xml:space="preserve">tudy Data </w:t>
      </w:r>
      <w:r w:rsidRPr="00AF5F4D">
        <w:rPr>
          <w:b/>
          <w:sz w:val="22"/>
          <w:lang w:eastAsia="ko-KR"/>
        </w:rPr>
        <w:t xml:space="preserve">Radio Bearer </w:t>
      </w:r>
      <w:r>
        <w:rPr>
          <w:b/>
          <w:sz w:val="22"/>
          <w:lang w:eastAsia="ko-KR"/>
        </w:rPr>
        <w:t>over</w:t>
      </w:r>
      <w:r w:rsidRPr="00AF5F4D">
        <w:rPr>
          <w:b/>
          <w:sz w:val="22"/>
          <w:lang w:eastAsia="ko-KR"/>
        </w:rPr>
        <w:t xml:space="preserve"> TM RLC</w:t>
      </w:r>
      <w:r>
        <w:rPr>
          <w:b/>
          <w:sz w:val="22"/>
          <w:lang w:eastAsia="ko-KR"/>
        </w:rPr>
        <w:t xml:space="preserve"> for IIOT</w:t>
      </w:r>
      <w:r w:rsidRPr="00AF5F4D">
        <w:rPr>
          <w:b/>
          <w:sz w:val="22"/>
          <w:lang w:eastAsia="ko-KR"/>
        </w:rPr>
        <w:t>.</w:t>
      </w: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E5C" w:rsidRDefault="007C7E5C">
      <w:pPr>
        <w:spacing w:after="0"/>
      </w:pPr>
      <w:r>
        <w:separator/>
      </w:r>
    </w:p>
  </w:endnote>
  <w:endnote w:type="continuationSeparator" w:id="0">
    <w:p w:rsidR="007C7E5C" w:rsidRDefault="007C7E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31084">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E5C" w:rsidRDefault="007C7E5C">
      <w:pPr>
        <w:spacing w:after="0"/>
      </w:pPr>
      <w:r>
        <w:separator/>
      </w:r>
    </w:p>
  </w:footnote>
  <w:footnote w:type="continuationSeparator" w:id="0">
    <w:p w:rsidR="007C7E5C" w:rsidRDefault="007C7E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572BD"/>
    <w:rsid w:val="00165929"/>
    <w:rsid w:val="00190CD2"/>
    <w:rsid w:val="001A248F"/>
    <w:rsid w:val="001B7CFA"/>
    <w:rsid w:val="001D608A"/>
    <w:rsid w:val="001F53EF"/>
    <w:rsid w:val="0021791F"/>
    <w:rsid w:val="0023022A"/>
    <w:rsid w:val="002411D3"/>
    <w:rsid w:val="002709AD"/>
    <w:rsid w:val="002957B2"/>
    <w:rsid w:val="002A139D"/>
    <w:rsid w:val="00321212"/>
    <w:rsid w:val="0032544F"/>
    <w:rsid w:val="0035290C"/>
    <w:rsid w:val="00357196"/>
    <w:rsid w:val="003A7497"/>
    <w:rsid w:val="003D583B"/>
    <w:rsid w:val="003D65FE"/>
    <w:rsid w:val="003F048B"/>
    <w:rsid w:val="003F3E87"/>
    <w:rsid w:val="00432266"/>
    <w:rsid w:val="00432E66"/>
    <w:rsid w:val="00444373"/>
    <w:rsid w:val="00447417"/>
    <w:rsid w:val="004F2A6F"/>
    <w:rsid w:val="005019FF"/>
    <w:rsid w:val="00503714"/>
    <w:rsid w:val="0051379C"/>
    <w:rsid w:val="005341E3"/>
    <w:rsid w:val="00561A51"/>
    <w:rsid w:val="0057142C"/>
    <w:rsid w:val="0057246F"/>
    <w:rsid w:val="005B64EA"/>
    <w:rsid w:val="005E5398"/>
    <w:rsid w:val="005F29AE"/>
    <w:rsid w:val="00663B76"/>
    <w:rsid w:val="0068780F"/>
    <w:rsid w:val="006B2641"/>
    <w:rsid w:val="006B6E44"/>
    <w:rsid w:val="006E158D"/>
    <w:rsid w:val="006F1D36"/>
    <w:rsid w:val="0073652D"/>
    <w:rsid w:val="007512A3"/>
    <w:rsid w:val="0079085A"/>
    <w:rsid w:val="00792C3F"/>
    <w:rsid w:val="007B0C08"/>
    <w:rsid w:val="007C7E5C"/>
    <w:rsid w:val="007D0E5D"/>
    <w:rsid w:val="007E23FF"/>
    <w:rsid w:val="00812553"/>
    <w:rsid w:val="00865F89"/>
    <w:rsid w:val="008743A5"/>
    <w:rsid w:val="00880454"/>
    <w:rsid w:val="00880552"/>
    <w:rsid w:val="008937A8"/>
    <w:rsid w:val="008B2378"/>
    <w:rsid w:val="008B5879"/>
    <w:rsid w:val="008E0757"/>
    <w:rsid w:val="008E6D14"/>
    <w:rsid w:val="00905F59"/>
    <w:rsid w:val="00931084"/>
    <w:rsid w:val="00934911"/>
    <w:rsid w:val="00945352"/>
    <w:rsid w:val="00954979"/>
    <w:rsid w:val="00993836"/>
    <w:rsid w:val="0099626A"/>
    <w:rsid w:val="009A1154"/>
    <w:rsid w:val="009B39F1"/>
    <w:rsid w:val="009D0975"/>
    <w:rsid w:val="009E6AC1"/>
    <w:rsid w:val="009E6F7D"/>
    <w:rsid w:val="00A076FC"/>
    <w:rsid w:val="00A117FD"/>
    <w:rsid w:val="00A27C27"/>
    <w:rsid w:val="00A56588"/>
    <w:rsid w:val="00A870AC"/>
    <w:rsid w:val="00A951E0"/>
    <w:rsid w:val="00A9634F"/>
    <w:rsid w:val="00AA0153"/>
    <w:rsid w:val="00AA16F7"/>
    <w:rsid w:val="00AB2A0D"/>
    <w:rsid w:val="00AB7E77"/>
    <w:rsid w:val="00AC543E"/>
    <w:rsid w:val="00AF3457"/>
    <w:rsid w:val="00AF5F4D"/>
    <w:rsid w:val="00AF64BD"/>
    <w:rsid w:val="00B10CE0"/>
    <w:rsid w:val="00B15BDD"/>
    <w:rsid w:val="00B212E8"/>
    <w:rsid w:val="00C071B4"/>
    <w:rsid w:val="00C157C5"/>
    <w:rsid w:val="00C83F0B"/>
    <w:rsid w:val="00CC5A0A"/>
    <w:rsid w:val="00D0661B"/>
    <w:rsid w:val="00D47D41"/>
    <w:rsid w:val="00D54460"/>
    <w:rsid w:val="00D67A5C"/>
    <w:rsid w:val="00D8015C"/>
    <w:rsid w:val="00D90655"/>
    <w:rsid w:val="00DE4E84"/>
    <w:rsid w:val="00DE4EA0"/>
    <w:rsid w:val="00E1189A"/>
    <w:rsid w:val="00E2323B"/>
    <w:rsid w:val="00E3403D"/>
    <w:rsid w:val="00E7582F"/>
    <w:rsid w:val="00F56533"/>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0C8A1-FDAF-4C9F-AF48-DF45880DC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2</Pages>
  <Words>537</Words>
  <Characters>3062</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195</cp:revision>
  <dcterms:created xsi:type="dcterms:W3CDTF">2017-04-17T04:10:00Z</dcterms:created>
  <dcterms:modified xsi:type="dcterms:W3CDTF">2019-02-15T02:21:00Z</dcterms:modified>
</cp:coreProperties>
</file>